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4084" w:rsidRPr="008617EA" w:rsidRDefault="007B50DB" w:rsidP="008617EA">
      <w:pPr>
        <w:pBdr>
          <w:top w:val="nil"/>
          <w:left w:val="nil"/>
          <w:bottom w:val="nil"/>
          <w:right w:val="nil"/>
          <w:between w:val="nil"/>
        </w:pBdr>
        <w:jc w:val="both"/>
        <w:rPr>
          <w:b/>
          <w:color w:val="000000"/>
          <w:u w:val="single"/>
        </w:rPr>
      </w:pPr>
      <w:r w:rsidRPr="008617EA">
        <w:rPr>
          <w:b/>
          <w:color w:val="000000"/>
        </w:rPr>
        <w:t>Temp</w:t>
      </w:r>
      <w:bookmarkStart w:id="0" w:name="_GoBack"/>
      <w:bookmarkEnd w:id="0"/>
      <w:r w:rsidRPr="008617EA">
        <w:rPr>
          <w:b/>
          <w:color w:val="000000"/>
        </w:rPr>
        <w:t>late for the Advanced Comments on Draft Documents on Planning, Reporting and Review Mechanisms for the Resumed Session of the Third Meeting of the Subsidiary Body on Implementation</w:t>
      </w:r>
    </w:p>
    <w:p w:rsidR="00F94084" w:rsidRPr="008617EA" w:rsidRDefault="00F94084" w:rsidP="008617EA">
      <w:pPr>
        <w:jc w:val="both"/>
        <w:rPr>
          <w:b/>
        </w:rPr>
      </w:pPr>
    </w:p>
    <w:p w:rsidR="00F94084" w:rsidRPr="008617EA" w:rsidRDefault="00F94084" w:rsidP="008617EA">
      <w:pPr>
        <w:pBdr>
          <w:top w:val="nil"/>
          <w:left w:val="nil"/>
          <w:bottom w:val="nil"/>
          <w:right w:val="nil"/>
          <w:between w:val="nil"/>
        </w:pBdr>
        <w:jc w:val="both"/>
        <w:rPr>
          <w:b/>
          <w:color w:val="000000"/>
          <w:u w:val="single"/>
        </w:rPr>
      </w:pPr>
    </w:p>
    <w:p w:rsidR="00F94084" w:rsidRPr="008617EA" w:rsidRDefault="007B50DB" w:rsidP="008617EA">
      <w:pPr>
        <w:pBdr>
          <w:top w:val="nil"/>
          <w:left w:val="nil"/>
          <w:bottom w:val="nil"/>
          <w:right w:val="nil"/>
          <w:between w:val="nil"/>
        </w:pBdr>
        <w:jc w:val="both"/>
        <w:rPr>
          <w:b/>
          <w:color w:val="000000"/>
          <w:u w:val="single"/>
        </w:rPr>
      </w:pPr>
      <w:r w:rsidRPr="008617EA">
        <w:rPr>
          <w:b/>
          <w:color w:val="000000"/>
          <w:u w:val="single"/>
        </w:rPr>
        <w:t>TEMPLATE FOR COMMENTS: Revised guidance and template for the seventh and eighth reports contained in annex to CBD/SBI/3/11/ADD1/AMEND1</w:t>
      </w:r>
    </w:p>
    <w:p w:rsidR="00F94084" w:rsidRPr="008617EA" w:rsidRDefault="00F94084" w:rsidP="008617EA">
      <w:pPr>
        <w:pBdr>
          <w:top w:val="nil"/>
          <w:left w:val="nil"/>
          <w:bottom w:val="nil"/>
          <w:right w:val="nil"/>
          <w:between w:val="nil"/>
        </w:pBdr>
        <w:jc w:val="both"/>
        <w:rPr>
          <w:b/>
          <w:color w:val="000000"/>
          <w:u w:val="single"/>
        </w:rPr>
      </w:pPr>
    </w:p>
    <w:tbl>
      <w:tblPr>
        <w:tblStyle w:val="a"/>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1"/>
        <w:gridCol w:w="3232"/>
        <w:gridCol w:w="5222"/>
      </w:tblGrid>
      <w:tr w:rsidR="00F94084" w:rsidRPr="008617EA">
        <w:trPr>
          <w:trHeight w:val="737"/>
        </w:trPr>
        <w:tc>
          <w:tcPr>
            <w:tcW w:w="9355" w:type="dxa"/>
            <w:gridSpan w:val="3"/>
            <w:vAlign w:val="center"/>
          </w:tcPr>
          <w:p w:rsidR="00F94084" w:rsidRPr="008617EA" w:rsidRDefault="007B50DB" w:rsidP="008617EA">
            <w:pPr>
              <w:pBdr>
                <w:top w:val="nil"/>
                <w:left w:val="nil"/>
                <w:bottom w:val="nil"/>
                <w:right w:val="nil"/>
                <w:between w:val="nil"/>
              </w:pBdr>
              <w:jc w:val="both"/>
              <w:rPr>
                <w:b/>
                <w:color w:val="000000"/>
              </w:rPr>
            </w:pPr>
            <w:r w:rsidRPr="008617EA">
              <w:rPr>
                <w:b/>
                <w:color w:val="000000"/>
              </w:rPr>
              <w:t>Advanced comments on the</w:t>
            </w:r>
            <w:r w:rsidRPr="008617EA">
              <w:rPr>
                <w:b/>
                <w:color w:val="000000"/>
              </w:rPr>
              <w:t xml:space="preserve"> draft documents on Planning, Reporting and Review Mechanisms for the Resumed Session of the Thi</w:t>
            </w:r>
            <w:r w:rsidRPr="008617EA">
              <w:rPr>
                <w:b/>
                <w:color w:val="000000"/>
              </w:rPr>
              <w:t>rd Meeting of the Subsidiary Body on Implementation</w:t>
            </w:r>
          </w:p>
        </w:tc>
      </w:tr>
      <w:tr w:rsidR="008617EA" w:rsidRPr="008617EA">
        <w:trPr>
          <w:trHeight w:val="270"/>
        </w:trPr>
        <w:tc>
          <w:tcPr>
            <w:tcW w:w="4133" w:type="dxa"/>
            <w:gridSpan w:val="2"/>
          </w:tcPr>
          <w:p w:rsidR="00F94084" w:rsidRPr="008617EA" w:rsidRDefault="007B50DB" w:rsidP="008617EA">
            <w:pPr>
              <w:pBdr>
                <w:top w:val="nil"/>
                <w:left w:val="nil"/>
                <w:bottom w:val="nil"/>
                <w:right w:val="nil"/>
                <w:between w:val="nil"/>
              </w:pBdr>
              <w:spacing w:before="60" w:after="60"/>
              <w:jc w:val="both"/>
              <w:rPr>
                <w:b/>
              </w:rPr>
            </w:pPr>
            <w:r w:rsidRPr="008617EA">
              <w:rPr>
                <w:b/>
              </w:rPr>
              <w:t xml:space="preserve">Scope of this template for comments </w:t>
            </w:r>
          </w:p>
        </w:tc>
        <w:tc>
          <w:tcPr>
            <w:tcW w:w="5222" w:type="dxa"/>
          </w:tcPr>
          <w:p w:rsidR="00F94084" w:rsidRPr="008617EA" w:rsidRDefault="007B50DB" w:rsidP="008617EA">
            <w:pPr>
              <w:jc w:val="both"/>
            </w:pPr>
            <w:r w:rsidRPr="008617EA">
              <w:t xml:space="preserve">Revised guidance and template for the seventh and eighth national reports, contained in annex to the document CBD/SBI/3/11/ADD1/AMEND1 which includes a draft of Annex C to CBD/SBI/3/CRP.5. This template aims to collect feedback on that Annex. </w:t>
            </w:r>
          </w:p>
        </w:tc>
      </w:tr>
      <w:tr w:rsidR="008617EA" w:rsidRPr="008617EA">
        <w:trPr>
          <w:trHeight w:val="233"/>
        </w:trPr>
        <w:tc>
          <w:tcPr>
            <w:tcW w:w="9355" w:type="dxa"/>
            <w:gridSpan w:val="3"/>
            <w:shd w:val="clear" w:color="auto" w:fill="C0C0C0"/>
          </w:tcPr>
          <w:p w:rsidR="00F94084" w:rsidRPr="008617EA" w:rsidRDefault="007B50DB" w:rsidP="008617EA">
            <w:pPr>
              <w:jc w:val="both"/>
              <w:rPr>
                <w:b/>
                <w:i/>
              </w:rPr>
            </w:pPr>
            <w:r w:rsidRPr="008617EA">
              <w:rPr>
                <w:b/>
                <w:i/>
              </w:rPr>
              <w:t>Contact inf</w:t>
            </w:r>
            <w:r w:rsidRPr="008617EA">
              <w:rPr>
                <w:b/>
                <w:i/>
              </w:rPr>
              <w:t>ormation</w:t>
            </w:r>
          </w:p>
        </w:tc>
      </w:tr>
      <w:tr w:rsidR="008617EA" w:rsidRPr="008617EA">
        <w:trPr>
          <w:trHeight w:val="270"/>
        </w:trPr>
        <w:tc>
          <w:tcPr>
            <w:tcW w:w="4133" w:type="dxa"/>
            <w:gridSpan w:val="2"/>
          </w:tcPr>
          <w:p w:rsidR="00F94084" w:rsidRPr="008617EA" w:rsidRDefault="007B50DB" w:rsidP="008617EA">
            <w:pPr>
              <w:pBdr>
                <w:top w:val="nil"/>
                <w:left w:val="nil"/>
                <w:bottom w:val="nil"/>
                <w:right w:val="nil"/>
                <w:between w:val="nil"/>
              </w:pBdr>
              <w:spacing w:before="60" w:after="60"/>
              <w:jc w:val="both"/>
              <w:rPr>
                <w:b/>
              </w:rPr>
            </w:pPr>
            <w:r w:rsidRPr="008617EA">
              <w:rPr>
                <w:b/>
              </w:rPr>
              <w:t>Surname:</w:t>
            </w:r>
          </w:p>
        </w:tc>
        <w:tc>
          <w:tcPr>
            <w:tcW w:w="5222" w:type="dxa"/>
          </w:tcPr>
          <w:p w:rsidR="00F94084" w:rsidRPr="008617EA" w:rsidRDefault="007B50DB" w:rsidP="008617EA">
            <w:pPr>
              <w:jc w:val="both"/>
            </w:pPr>
            <w:r w:rsidRPr="008617EA">
              <w:t>Qwathekana</w:t>
            </w:r>
          </w:p>
        </w:tc>
      </w:tr>
      <w:tr w:rsidR="008617EA" w:rsidRPr="008617EA">
        <w:trPr>
          <w:trHeight w:val="270"/>
        </w:trPr>
        <w:tc>
          <w:tcPr>
            <w:tcW w:w="4133" w:type="dxa"/>
            <w:gridSpan w:val="2"/>
          </w:tcPr>
          <w:p w:rsidR="00F94084" w:rsidRPr="008617EA" w:rsidRDefault="007B50DB" w:rsidP="008617EA">
            <w:pPr>
              <w:pBdr>
                <w:top w:val="nil"/>
                <w:left w:val="nil"/>
                <w:bottom w:val="nil"/>
                <w:right w:val="nil"/>
                <w:between w:val="nil"/>
              </w:pBdr>
              <w:spacing w:before="60" w:after="60"/>
              <w:jc w:val="both"/>
              <w:rPr>
                <w:b/>
              </w:rPr>
            </w:pPr>
            <w:r w:rsidRPr="008617EA">
              <w:rPr>
                <w:b/>
              </w:rPr>
              <w:t>Given Name:</w:t>
            </w:r>
          </w:p>
        </w:tc>
        <w:tc>
          <w:tcPr>
            <w:tcW w:w="5222" w:type="dxa"/>
          </w:tcPr>
          <w:p w:rsidR="00F94084" w:rsidRPr="008617EA" w:rsidRDefault="007B50DB" w:rsidP="008617EA">
            <w:pPr>
              <w:jc w:val="both"/>
            </w:pPr>
            <w:r w:rsidRPr="008617EA">
              <w:t>Malta</w:t>
            </w:r>
          </w:p>
        </w:tc>
      </w:tr>
      <w:tr w:rsidR="008617EA" w:rsidRPr="008617EA">
        <w:trPr>
          <w:trHeight w:val="280"/>
        </w:trPr>
        <w:tc>
          <w:tcPr>
            <w:tcW w:w="4133" w:type="dxa"/>
            <w:gridSpan w:val="2"/>
          </w:tcPr>
          <w:p w:rsidR="00F94084" w:rsidRPr="008617EA" w:rsidRDefault="007B50DB" w:rsidP="008617EA">
            <w:pPr>
              <w:pBdr>
                <w:top w:val="nil"/>
                <w:left w:val="nil"/>
                <w:bottom w:val="nil"/>
                <w:right w:val="nil"/>
                <w:between w:val="nil"/>
              </w:pBdr>
              <w:spacing w:before="60" w:after="60"/>
              <w:jc w:val="both"/>
              <w:rPr>
                <w:b/>
              </w:rPr>
            </w:pPr>
            <w:r w:rsidRPr="008617EA">
              <w:rPr>
                <w:b/>
              </w:rPr>
              <w:t xml:space="preserve">Government </w:t>
            </w:r>
            <w:r w:rsidRPr="008617EA">
              <w:t>(if applicable)</w:t>
            </w:r>
            <w:r w:rsidRPr="008617EA">
              <w:rPr>
                <w:b/>
              </w:rPr>
              <w:t xml:space="preserve">: </w:t>
            </w:r>
          </w:p>
        </w:tc>
        <w:tc>
          <w:tcPr>
            <w:tcW w:w="5222" w:type="dxa"/>
          </w:tcPr>
          <w:p w:rsidR="00F94084" w:rsidRPr="008617EA" w:rsidRDefault="007B50DB" w:rsidP="008617EA">
            <w:pPr>
              <w:jc w:val="both"/>
            </w:pPr>
            <w:r w:rsidRPr="008617EA">
              <w:t xml:space="preserve">South Africa </w:t>
            </w:r>
          </w:p>
        </w:tc>
      </w:tr>
      <w:tr w:rsidR="008617EA" w:rsidRPr="008617EA">
        <w:trPr>
          <w:trHeight w:val="270"/>
        </w:trPr>
        <w:tc>
          <w:tcPr>
            <w:tcW w:w="4133" w:type="dxa"/>
            <w:gridSpan w:val="2"/>
          </w:tcPr>
          <w:p w:rsidR="00F94084" w:rsidRPr="008617EA" w:rsidRDefault="007B50DB" w:rsidP="008617EA">
            <w:pPr>
              <w:pBdr>
                <w:top w:val="nil"/>
                <w:left w:val="nil"/>
                <w:bottom w:val="nil"/>
                <w:right w:val="nil"/>
                <w:between w:val="nil"/>
              </w:pBdr>
              <w:spacing w:before="60" w:after="60"/>
              <w:jc w:val="both"/>
              <w:rPr>
                <w:b/>
              </w:rPr>
            </w:pPr>
            <w:r w:rsidRPr="008617EA">
              <w:rPr>
                <w:b/>
              </w:rPr>
              <w:t>Organization:</w:t>
            </w:r>
          </w:p>
        </w:tc>
        <w:tc>
          <w:tcPr>
            <w:tcW w:w="5222" w:type="dxa"/>
          </w:tcPr>
          <w:p w:rsidR="00F94084" w:rsidRPr="008617EA" w:rsidRDefault="007B50DB" w:rsidP="008617EA">
            <w:pPr>
              <w:jc w:val="both"/>
            </w:pPr>
            <w:r w:rsidRPr="008617EA">
              <w:t xml:space="preserve">Department of Forestry, Fisheries and the Environment </w:t>
            </w:r>
          </w:p>
        </w:tc>
      </w:tr>
      <w:tr w:rsidR="008617EA" w:rsidRPr="008617EA">
        <w:trPr>
          <w:trHeight w:val="280"/>
        </w:trPr>
        <w:tc>
          <w:tcPr>
            <w:tcW w:w="4133" w:type="dxa"/>
            <w:gridSpan w:val="2"/>
          </w:tcPr>
          <w:p w:rsidR="00F94084" w:rsidRPr="008617EA" w:rsidRDefault="007B50DB" w:rsidP="008617EA">
            <w:pPr>
              <w:pBdr>
                <w:top w:val="nil"/>
                <w:left w:val="nil"/>
                <w:bottom w:val="nil"/>
                <w:right w:val="nil"/>
                <w:between w:val="nil"/>
              </w:pBdr>
              <w:spacing w:before="60" w:after="60"/>
              <w:jc w:val="both"/>
              <w:rPr>
                <w:b/>
              </w:rPr>
            </w:pPr>
            <w:r w:rsidRPr="008617EA">
              <w:rPr>
                <w:b/>
              </w:rPr>
              <w:t xml:space="preserve">Address:  </w:t>
            </w:r>
          </w:p>
        </w:tc>
        <w:tc>
          <w:tcPr>
            <w:tcW w:w="5222" w:type="dxa"/>
          </w:tcPr>
          <w:p w:rsidR="00F94084" w:rsidRPr="008617EA" w:rsidRDefault="007B50DB" w:rsidP="008617EA">
            <w:pPr>
              <w:jc w:val="both"/>
            </w:pPr>
            <w:r w:rsidRPr="008617EA">
              <w:t xml:space="preserve">473 Steve </w:t>
            </w:r>
            <w:proofErr w:type="spellStart"/>
            <w:r w:rsidRPr="008617EA">
              <w:t>Biko</w:t>
            </w:r>
            <w:proofErr w:type="spellEnd"/>
            <w:r w:rsidRPr="008617EA">
              <w:t xml:space="preserve"> Road, </w:t>
            </w:r>
          </w:p>
        </w:tc>
      </w:tr>
      <w:tr w:rsidR="008617EA" w:rsidRPr="008617EA">
        <w:trPr>
          <w:trHeight w:val="270"/>
        </w:trPr>
        <w:tc>
          <w:tcPr>
            <w:tcW w:w="4133" w:type="dxa"/>
            <w:gridSpan w:val="2"/>
          </w:tcPr>
          <w:p w:rsidR="00F94084" w:rsidRPr="008617EA" w:rsidRDefault="007B50DB" w:rsidP="008617EA">
            <w:pPr>
              <w:pBdr>
                <w:top w:val="nil"/>
                <w:left w:val="nil"/>
                <w:bottom w:val="nil"/>
                <w:right w:val="nil"/>
                <w:between w:val="nil"/>
              </w:pBdr>
              <w:spacing w:before="60" w:after="60"/>
              <w:jc w:val="both"/>
              <w:rPr>
                <w:b/>
              </w:rPr>
            </w:pPr>
            <w:r w:rsidRPr="008617EA">
              <w:rPr>
                <w:b/>
              </w:rPr>
              <w:t>City:</w:t>
            </w:r>
          </w:p>
        </w:tc>
        <w:tc>
          <w:tcPr>
            <w:tcW w:w="5222" w:type="dxa"/>
          </w:tcPr>
          <w:p w:rsidR="00F94084" w:rsidRPr="008617EA" w:rsidRDefault="007B50DB" w:rsidP="008617EA">
            <w:pPr>
              <w:jc w:val="both"/>
            </w:pPr>
            <w:r w:rsidRPr="008617EA">
              <w:t>Pretoria</w:t>
            </w:r>
          </w:p>
        </w:tc>
      </w:tr>
      <w:tr w:rsidR="008617EA" w:rsidRPr="008617EA">
        <w:trPr>
          <w:trHeight w:val="280"/>
        </w:trPr>
        <w:tc>
          <w:tcPr>
            <w:tcW w:w="4133" w:type="dxa"/>
            <w:gridSpan w:val="2"/>
          </w:tcPr>
          <w:p w:rsidR="00F94084" w:rsidRPr="008617EA" w:rsidRDefault="007B50DB" w:rsidP="008617EA">
            <w:pPr>
              <w:pBdr>
                <w:top w:val="nil"/>
                <w:left w:val="nil"/>
                <w:bottom w:val="nil"/>
                <w:right w:val="nil"/>
                <w:between w:val="nil"/>
              </w:pBdr>
              <w:spacing w:before="60" w:after="60"/>
              <w:jc w:val="both"/>
              <w:rPr>
                <w:b/>
              </w:rPr>
            </w:pPr>
            <w:r w:rsidRPr="008617EA">
              <w:rPr>
                <w:b/>
              </w:rPr>
              <w:t>Country:</w:t>
            </w:r>
          </w:p>
        </w:tc>
        <w:tc>
          <w:tcPr>
            <w:tcW w:w="5222" w:type="dxa"/>
          </w:tcPr>
          <w:p w:rsidR="00F94084" w:rsidRPr="008617EA" w:rsidRDefault="007B50DB" w:rsidP="008617EA">
            <w:pPr>
              <w:jc w:val="both"/>
            </w:pPr>
            <w:r w:rsidRPr="008617EA">
              <w:t xml:space="preserve">South Africa </w:t>
            </w:r>
          </w:p>
        </w:tc>
      </w:tr>
      <w:tr w:rsidR="008617EA" w:rsidRPr="008617EA">
        <w:trPr>
          <w:trHeight w:val="270"/>
        </w:trPr>
        <w:tc>
          <w:tcPr>
            <w:tcW w:w="4133" w:type="dxa"/>
            <w:gridSpan w:val="2"/>
          </w:tcPr>
          <w:p w:rsidR="00F94084" w:rsidRPr="008617EA" w:rsidRDefault="007B50DB" w:rsidP="008617EA">
            <w:pPr>
              <w:pBdr>
                <w:top w:val="nil"/>
                <w:left w:val="nil"/>
                <w:bottom w:val="nil"/>
                <w:right w:val="nil"/>
                <w:between w:val="nil"/>
              </w:pBdr>
              <w:spacing w:before="60" w:after="60"/>
              <w:jc w:val="both"/>
              <w:rPr>
                <w:b/>
              </w:rPr>
            </w:pPr>
            <w:r w:rsidRPr="008617EA">
              <w:rPr>
                <w:b/>
              </w:rPr>
              <w:t>Postal Code:</w:t>
            </w:r>
          </w:p>
        </w:tc>
        <w:tc>
          <w:tcPr>
            <w:tcW w:w="5222" w:type="dxa"/>
          </w:tcPr>
          <w:p w:rsidR="00F94084" w:rsidRPr="008617EA" w:rsidRDefault="007B50DB" w:rsidP="008617EA">
            <w:pPr>
              <w:jc w:val="both"/>
            </w:pPr>
            <w:r w:rsidRPr="008617EA">
              <w:t>0001</w:t>
            </w:r>
          </w:p>
        </w:tc>
      </w:tr>
      <w:tr w:rsidR="008617EA" w:rsidRPr="008617EA">
        <w:trPr>
          <w:trHeight w:val="270"/>
        </w:trPr>
        <w:tc>
          <w:tcPr>
            <w:tcW w:w="4133" w:type="dxa"/>
            <w:gridSpan w:val="2"/>
          </w:tcPr>
          <w:p w:rsidR="00F94084" w:rsidRPr="008617EA" w:rsidRDefault="007B50DB" w:rsidP="008617EA">
            <w:pPr>
              <w:pBdr>
                <w:top w:val="nil"/>
                <w:left w:val="nil"/>
                <w:bottom w:val="nil"/>
                <w:right w:val="nil"/>
                <w:between w:val="nil"/>
              </w:pBdr>
              <w:spacing w:before="60" w:after="60"/>
              <w:jc w:val="both"/>
              <w:rPr>
                <w:b/>
              </w:rPr>
            </w:pPr>
            <w:r w:rsidRPr="008617EA">
              <w:rPr>
                <w:b/>
              </w:rPr>
              <w:t xml:space="preserve">Phone Number </w:t>
            </w:r>
            <w:r w:rsidRPr="008617EA">
              <w:t>(including country code)</w:t>
            </w:r>
            <w:r w:rsidRPr="008617EA">
              <w:rPr>
                <w:b/>
              </w:rPr>
              <w:t xml:space="preserve">:  </w:t>
            </w:r>
          </w:p>
        </w:tc>
        <w:tc>
          <w:tcPr>
            <w:tcW w:w="5222" w:type="dxa"/>
          </w:tcPr>
          <w:p w:rsidR="00F94084" w:rsidRPr="008617EA" w:rsidRDefault="007B50DB" w:rsidP="008617EA">
            <w:pPr>
              <w:jc w:val="both"/>
            </w:pPr>
            <w:r w:rsidRPr="008617EA">
              <w:t>+27 78 093 6266</w:t>
            </w:r>
          </w:p>
        </w:tc>
      </w:tr>
      <w:tr w:rsidR="008617EA" w:rsidRPr="008617EA">
        <w:trPr>
          <w:trHeight w:val="233"/>
        </w:trPr>
        <w:tc>
          <w:tcPr>
            <w:tcW w:w="4133" w:type="dxa"/>
            <w:gridSpan w:val="2"/>
          </w:tcPr>
          <w:p w:rsidR="00F94084" w:rsidRPr="008617EA" w:rsidRDefault="007B50DB" w:rsidP="008617EA">
            <w:pPr>
              <w:pBdr>
                <w:top w:val="nil"/>
                <w:left w:val="nil"/>
                <w:bottom w:val="nil"/>
                <w:right w:val="nil"/>
                <w:between w:val="nil"/>
              </w:pBdr>
              <w:jc w:val="both"/>
              <w:rPr>
                <w:b/>
              </w:rPr>
            </w:pPr>
            <w:r w:rsidRPr="008617EA">
              <w:rPr>
                <w:b/>
              </w:rPr>
              <w:t>E-mail:</w:t>
            </w:r>
          </w:p>
        </w:tc>
        <w:tc>
          <w:tcPr>
            <w:tcW w:w="5222" w:type="dxa"/>
          </w:tcPr>
          <w:p w:rsidR="00F94084" w:rsidRPr="008617EA" w:rsidRDefault="007B50DB" w:rsidP="008617EA">
            <w:pPr>
              <w:jc w:val="both"/>
            </w:pPr>
            <w:hyperlink r:id="rId7">
              <w:r w:rsidRPr="008617EA">
                <w:rPr>
                  <w:u w:val="single"/>
                </w:rPr>
                <w:t>MQWATHEKANA@dffe.gov.za</w:t>
              </w:r>
            </w:hyperlink>
            <w:r w:rsidRPr="008617EA">
              <w:t xml:space="preserve"> </w:t>
            </w:r>
          </w:p>
        </w:tc>
      </w:tr>
      <w:tr w:rsidR="008617EA" w:rsidRPr="008617EA">
        <w:trPr>
          <w:trHeight w:val="449"/>
        </w:trPr>
        <w:tc>
          <w:tcPr>
            <w:tcW w:w="9355" w:type="dxa"/>
            <w:gridSpan w:val="3"/>
            <w:tcBorders>
              <w:top w:val="single" w:sz="4" w:space="0" w:color="000000"/>
              <w:left w:val="single" w:sz="4" w:space="0" w:color="000000"/>
              <w:bottom w:val="single" w:sz="4" w:space="0" w:color="000000"/>
              <w:right w:val="single" w:sz="4" w:space="0" w:color="000000"/>
            </w:tcBorders>
            <w:shd w:val="clear" w:color="auto" w:fill="BFBFBF"/>
            <w:vAlign w:val="center"/>
          </w:tcPr>
          <w:p w:rsidR="00F94084" w:rsidRPr="008617EA" w:rsidRDefault="007B50DB" w:rsidP="008617EA">
            <w:pPr>
              <w:jc w:val="both"/>
              <w:rPr>
                <w:b/>
              </w:rPr>
            </w:pPr>
            <w:r w:rsidRPr="008617EA">
              <w:rPr>
                <w:b/>
              </w:rPr>
              <w:t>Comments</w:t>
            </w:r>
          </w:p>
        </w:tc>
      </w:tr>
      <w:tr w:rsidR="008617EA" w:rsidRPr="008617EA">
        <w:trPr>
          <w:trHeight w:val="779"/>
        </w:trPr>
        <w:tc>
          <w:tcPr>
            <w:tcW w:w="9355" w:type="dxa"/>
            <w:gridSpan w:val="3"/>
            <w:tcBorders>
              <w:top w:val="single" w:sz="4" w:space="0" w:color="000000"/>
              <w:left w:val="single" w:sz="4" w:space="0" w:color="000000"/>
              <w:right w:val="single" w:sz="4" w:space="0" w:color="000000"/>
            </w:tcBorders>
          </w:tcPr>
          <w:p w:rsidR="00F94084" w:rsidRPr="008617EA" w:rsidRDefault="007B50DB" w:rsidP="008617EA">
            <w:pPr>
              <w:jc w:val="both"/>
            </w:pPr>
            <w:r w:rsidRPr="008617EA">
              <w:t xml:space="preserve">Please provide any general comments on the structure of the draft template for the seventh and eighth national reports, as well as the introduction to the template.  </w:t>
            </w:r>
          </w:p>
          <w:p w:rsidR="00F94084" w:rsidRPr="008617EA" w:rsidRDefault="00F94084" w:rsidP="008617EA">
            <w:pPr>
              <w:jc w:val="both"/>
            </w:pPr>
          </w:p>
          <w:p w:rsidR="00F94084" w:rsidRPr="008617EA" w:rsidRDefault="007B50DB" w:rsidP="008617EA">
            <w:pPr>
              <w:jc w:val="both"/>
            </w:pPr>
            <w:r w:rsidRPr="008617EA">
              <w:t>Para 4 mentions that the national reports should include financial reporting, to be conf</w:t>
            </w:r>
            <w:r w:rsidRPr="008617EA">
              <w:t xml:space="preserve">irmed at COP15. If this is confirmed, it would be useful to provide more detail on how the financial reporting relates to the national biodiversity finance plan. </w:t>
            </w:r>
          </w:p>
          <w:p w:rsidR="00F94084" w:rsidRPr="008617EA" w:rsidRDefault="00F94084" w:rsidP="008617EA">
            <w:pPr>
              <w:jc w:val="both"/>
            </w:pPr>
          </w:p>
          <w:p w:rsidR="00F94084" w:rsidRPr="008617EA" w:rsidRDefault="007B50DB" w:rsidP="008617EA">
            <w:pPr>
              <w:jc w:val="both"/>
              <w:rPr>
                <w:rFonts w:eastAsia="Times"/>
              </w:rPr>
            </w:pPr>
            <w:r w:rsidRPr="008617EA">
              <w:rPr>
                <w:rFonts w:eastAsia="Times"/>
              </w:rPr>
              <w:t>Paragraph 11 on the use of headline indicators for monitoring and reporting proposes that na</w:t>
            </w:r>
            <w:r w:rsidRPr="008617EA">
              <w:rPr>
                <w:rFonts w:eastAsia="Times"/>
              </w:rPr>
              <w:t>tional report templates could be pre-populated or pre-filled with available national data or disaggregated from global datasets. South Africa recommends that instead of providing pre-filled or pre-populated indicator values, the global disaggregation is pr</w:t>
            </w:r>
            <w:r w:rsidRPr="008617EA">
              <w:rPr>
                <w:rFonts w:eastAsia="Times"/>
              </w:rPr>
              <w:t xml:space="preserve">ovided in a form of information that a Party may wish to use in filling in this section of the national report. In other words, the indicator value should be left blank, with possible globally disaggregated values </w:t>
            </w:r>
            <w:r w:rsidRPr="008617EA">
              <w:rPr>
                <w:rFonts w:eastAsia="Times"/>
              </w:rPr>
              <w:lastRenderedPageBreak/>
              <w:t>provided in a separate place that can be c</w:t>
            </w:r>
            <w:r w:rsidRPr="008617EA">
              <w:rPr>
                <w:rFonts w:eastAsia="Times"/>
              </w:rPr>
              <w:t>ut and pasted in. This would help to reinforce the need for all indicators to be nationally validated, which we feel should have greater emphasis in this paragraph and elsewhere. We also suggest that the information based on global disaggregation is retain</w:t>
            </w:r>
            <w:r w:rsidRPr="008617EA">
              <w:rPr>
                <w:rFonts w:eastAsia="Times"/>
              </w:rPr>
              <w:t>ed in the report even if a country chooses to use its own national information. This would present a useful opportunity to gather information about why parties choose not to use global information provided (for example, explaining why the global disaggrega</w:t>
            </w:r>
            <w:r w:rsidRPr="008617EA">
              <w:rPr>
                <w:rFonts w:eastAsia="Times"/>
              </w:rPr>
              <w:t>tion is not accurate/suitable) and why they prefer to use their own national datasets and information.</w:t>
            </w:r>
          </w:p>
          <w:p w:rsidR="00F94084" w:rsidRPr="008617EA" w:rsidRDefault="00F94084" w:rsidP="008617EA">
            <w:pPr>
              <w:jc w:val="both"/>
              <w:rPr>
                <w:rFonts w:eastAsia="Times"/>
              </w:rPr>
            </w:pPr>
          </w:p>
          <w:p w:rsidR="00F94084" w:rsidRPr="008617EA" w:rsidRDefault="007B50DB" w:rsidP="008617EA">
            <w:pPr>
              <w:jc w:val="both"/>
              <w:rPr>
                <w:rFonts w:eastAsia="Times"/>
              </w:rPr>
            </w:pPr>
            <w:r w:rsidRPr="008617EA">
              <w:rPr>
                <w:rFonts w:eastAsia="Times"/>
              </w:rPr>
              <w:t>We suggest something along the lines of the following table be provided for countries to complete:</w:t>
            </w:r>
          </w:p>
          <w:p w:rsidR="00F94084" w:rsidRPr="008617EA" w:rsidRDefault="00F94084" w:rsidP="008617EA">
            <w:pPr>
              <w:widowControl w:val="0"/>
              <w:spacing w:line="276" w:lineRule="auto"/>
              <w:jc w:val="both"/>
              <w:rPr>
                <w:rFonts w:eastAsia="Arial"/>
              </w:rPr>
            </w:pPr>
          </w:p>
          <w:tbl>
            <w:tblPr>
              <w:tblStyle w:val="a0"/>
              <w:tblW w:w="8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0"/>
              <w:gridCol w:w="1800"/>
              <w:gridCol w:w="1800"/>
              <w:gridCol w:w="1245"/>
              <w:gridCol w:w="2340"/>
            </w:tblGrid>
            <w:tr w:rsidR="008617EA" w:rsidRPr="008617EA">
              <w:tc>
                <w:tcPr>
                  <w:tcW w:w="1800" w:type="dxa"/>
                </w:tcPr>
                <w:p w:rsidR="00F94084" w:rsidRPr="008617EA" w:rsidRDefault="007B50DB" w:rsidP="008617EA">
                  <w:pPr>
                    <w:jc w:val="both"/>
                    <w:rPr>
                      <w:rFonts w:eastAsia="Calibri"/>
                    </w:rPr>
                  </w:pPr>
                  <w:r w:rsidRPr="008617EA">
                    <w:rPr>
                      <w:rFonts w:eastAsia="Calibri"/>
                    </w:rPr>
                    <w:t>Indicator</w:t>
                  </w:r>
                </w:p>
              </w:tc>
              <w:tc>
                <w:tcPr>
                  <w:tcW w:w="1800" w:type="dxa"/>
                </w:tcPr>
                <w:p w:rsidR="00F94084" w:rsidRPr="008617EA" w:rsidRDefault="007B50DB" w:rsidP="008617EA">
                  <w:pPr>
                    <w:jc w:val="both"/>
                    <w:rPr>
                      <w:rFonts w:eastAsia="Calibri"/>
                    </w:rPr>
                  </w:pPr>
                  <w:r w:rsidRPr="008617EA">
                    <w:rPr>
                      <w:rFonts w:eastAsia="Calibri"/>
                    </w:rPr>
                    <w:t>National metrics</w:t>
                  </w:r>
                </w:p>
              </w:tc>
              <w:tc>
                <w:tcPr>
                  <w:tcW w:w="1800" w:type="dxa"/>
                </w:tcPr>
                <w:p w:rsidR="00F94084" w:rsidRPr="008617EA" w:rsidRDefault="007B50DB" w:rsidP="008617EA">
                  <w:pPr>
                    <w:jc w:val="both"/>
                    <w:rPr>
                      <w:rFonts w:eastAsia="Calibri"/>
                    </w:rPr>
                  </w:pPr>
                  <w:r w:rsidRPr="008617EA">
                    <w:rPr>
                      <w:rFonts w:eastAsia="Calibri"/>
                    </w:rPr>
                    <w:t>Global metrics</w:t>
                  </w:r>
                </w:p>
              </w:tc>
              <w:tc>
                <w:tcPr>
                  <w:tcW w:w="1245" w:type="dxa"/>
                </w:tcPr>
                <w:p w:rsidR="00F94084" w:rsidRPr="008617EA" w:rsidRDefault="007B50DB" w:rsidP="008617EA">
                  <w:pPr>
                    <w:jc w:val="both"/>
                    <w:rPr>
                      <w:rFonts w:eastAsia="Calibri"/>
                    </w:rPr>
                  </w:pPr>
                  <w:r w:rsidRPr="008617EA">
                    <w:rPr>
                      <w:rFonts w:eastAsia="Calibri"/>
                    </w:rPr>
                    <w:t>Use Global</w:t>
                  </w:r>
                  <w:r w:rsidRPr="008617EA">
                    <w:rPr>
                      <w:rFonts w:eastAsia="Calibri"/>
                    </w:rPr>
                    <w:t xml:space="preserve"> metric? </w:t>
                  </w:r>
                </w:p>
              </w:tc>
              <w:tc>
                <w:tcPr>
                  <w:tcW w:w="2340" w:type="dxa"/>
                </w:tcPr>
                <w:p w:rsidR="00F94084" w:rsidRPr="008617EA" w:rsidRDefault="007B50DB" w:rsidP="008617EA">
                  <w:pPr>
                    <w:jc w:val="both"/>
                    <w:rPr>
                      <w:rFonts w:eastAsia="Calibri"/>
                    </w:rPr>
                  </w:pPr>
                  <w:r w:rsidRPr="008617EA">
                    <w:rPr>
                      <w:rFonts w:eastAsia="Calibri"/>
                    </w:rPr>
                    <w:t>Comment</w:t>
                  </w:r>
                </w:p>
              </w:tc>
            </w:tr>
            <w:tr w:rsidR="008617EA" w:rsidRPr="008617EA">
              <w:tc>
                <w:tcPr>
                  <w:tcW w:w="1800" w:type="dxa"/>
                </w:tcPr>
                <w:p w:rsidR="00F94084" w:rsidRPr="008617EA" w:rsidRDefault="008617EA" w:rsidP="008617EA">
                  <w:pPr>
                    <w:jc w:val="both"/>
                    <w:rPr>
                      <w:rFonts w:eastAsia="Calibri"/>
                    </w:rPr>
                  </w:pPr>
                  <w:r w:rsidRPr="008617EA">
                    <w:rPr>
                      <w:rFonts w:eastAsia="Calibri"/>
                    </w:rPr>
                    <w:t>A</w:t>
                  </w:r>
                </w:p>
              </w:tc>
              <w:tc>
                <w:tcPr>
                  <w:tcW w:w="1800" w:type="dxa"/>
                  <w:shd w:val="clear" w:color="auto" w:fill="auto"/>
                </w:tcPr>
                <w:p w:rsidR="00F94084" w:rsidRPr="008617EA" w:rsidRDefault="007B50DB" w:rsidP="008617EA">
                  <w:pPr>
                    <w:jc w:val="both"/>
                    <w:rPr>
                      <w:rFonts w:eastAsia="Calibri"/>
                    </w:rPr>
                  </w:pPr>
                  <w:r w:rsidRPr="008617EA">
                    <w:rPr>
                      <w:rFonts w:eastAsia="Calibri"/>
                    </w:rPr>
                    <w:t>4567</w:t>
                  </w:r>
                </w:p>
              </w:tc>
              <w:tc>
                <w:tcPr>
                  <w:tcW w:w="1800" w:type="dxa"/>
                  <w:shd w:val="clear" w:color="auto" w:fill="auto"/>
                </w:tcPr>
                <w:p w:rsidR="00F94084" w:rsidRPr="008617EA" w:rsidRDefault="007B50DB" w:rsidP="008617EA">
                  <w:pPr>
                    <w:jc w:val="both"/>
                    <w:rPr>
                      <w:rFonts w:eastAsia="Calibri"/>
                    </w:rPr>
                  </w:pPr>
                  <w:r w:rsidRPr="008617EA">
                    <w:rPr>
                      <w:rFonts w:eastAsia="Calibri"/>
                    </w:rPr>
                    <w:t>1234</w:t>
                  </w:r>
                </w:p>
              </w:tc>
              <w:tc>
                <w:tcPr>
                  <w:tcW w:w="1245" w:type="dxa"/>
                  <w:shd w:val="clear" w:color="auto" w:fill="auto"/>
                </w:tcPr>
                <w:p w:rsidR="00F94084" w:rsidRPr="008617EA" w:rsidRDefault="007B50DB" w:rsidP="008617EA">
                  <w:pPr>
                    <w:jc w:val="both"/>
                    <w:rPr>
                      <w:rFonts w:eastAsia="Calibri"/>
                    </w:rPr>
                  </w:pPr>
                  <w:r w:rsidRPr="008617EA">
                    <w:rPr>
                      <w:rFonts w:eastAsia="Calibri"/>
                    </w:rPr>
                    <w:t>NO</w:t>
                  </w:r>
                </w:p>
              </w:tc>
              <w:tc>
                <w:tcPr>
                  <w:tcW w:w="2340" w:type="dxa"/>
                </w:tcPr>
                <w:p w:rsidR="00F94084" w:rsidRPr="008617EA" w:rsidRDefault="007B50DB" w:rsidP="008617EA">
                  <w:pPr>
                    <w:jc w:val="both"/>
                    <w:rPr>
                      <w:rFonts w:eastAsia="Calibri"/>
                    </w:rPr>
                  </w:pPr>
                  <w:r w:rsidRPr="008617EA">
                    <w:rPr>
                      <w:rFonts w:eastAsia="Calibri"/>
                    </w:rPr>
                    <w:t>National data and methods used – global data not suitable for xyz reason</w:t>
                  </w:r>
                </w:p>
              </w:tc>
            </w:tr>
            <w:tr w:rsidR="008617EA" w:rsidRPr="008617EA">
              <w:tc>
                <w:tcPr>
                  <w:tcW w:w="1800" w:type="dxa"/>
                </w:tcPr>
                <w:p w:rsidR="00F94084" w:rsidRPr="008617EA" w:rsidRDefault="008617EA" w:rsidP="008617EA">
                  <w:pPr>
                    <w:jc w:val="both"/>
                    <w:rPr>
                      <w:rFonts w:eastAsia="Calibri"/>
                    </w:rPr>
                  </w:pPr>
                  <w:r w:rsidRPr="008617EA">
                    <w:rPr>
                      <w:rFonts w:eastAsia="Calibri"/>
                    </w:rPr>
                    <w:t>B</w:t>
                  </w:r>
                </w:p>
              </w:tc>
              <w:tc>
                <w:tcPr>
                  <w:tcW w:w="1800" w:type="dxa"/>
                  <w:shd w:val="clear" w:color="auto" w:fill="auto"/>
                </w:tcPr>
                <w:p w:rsidR="00F94084" w:rsidRPr="008617EA" w:rsidRDefault="007B50DB" w:rsidP="008617EA">
                  <w:pPr>
                    <w:jc w:val="both"/>
                    <w:rPr>
                      <w:rFonts w:eastAsia="Calibri"/>
                    </w:rPr>
                  </w:pPr>
                  <w:proofErr w:type="spellStart"/>
                  <w:r w:rsidRPr="008617EA">
                    <w:rPr>
                      <w:rFonts w:eastAsia="Calibri"/>
                    </w:rPr>
                    <w:t>na</w:t>
                  </w:r>
                  <w:proofErr w:type="spellEnd"/>
                </w:p>
              </w:tc>
              <w:tc>
                <w:tcPr>
                  <w:tcW w:w="1800" w:type="dxa"/>
                  <w:shd w:val="clear" w:color="auto" w:fill="auto"/>
                </w:tcPr>
                <w:p w:rsidR="00F94084" w:rsidRPr="008617EA" w:rsidRDefault="007B50DB" w:rsidP="008617EA">
                  <w:pPr>
                    <w:jc w:val="both"/>
                    <w:rPr>
                      <w:rFonts w:eastAsia="Calibri"/>
                    </w:rPr>
                  </w:pPr>
                  <w:r w:rsidRPr="008617EA">
                    <w:rPr>
                      <w:rFonts w:eastAsia="Calibri"/>
                    </w:rPr>
                    <w:t>8910</w:t>
                  </w:r>
                </w:p>
              </w:tc>
              <w:tc>
                <w:tcPr>
                  <w:tcW w:w="1245" w:type="dxa"/>
                  <w:shd w:val="clear" w:color="auto" w:fill="auto"/>
                </w:tcPr>
                <w:p w:rsidR="00F94084" w:rsidRPr="008617EA" w:rsidRDefault="007B50DB" w:rsidP="008617EA">
                  <w:pPr>
                    <w:jc w:val="both"/>
                    <w:rPr>
                      <w:rFonts w:eastAsia="Calibri"/>
                    </w:rPr>
                  </w:pPr>
                  <w:r w:rsidRPr="008617EA">
                    <w:rPr>
                      <w:rFonts w:eastAsia="Calibri"/>
                    </w:rPr>
                    <w:t>YES</w:t>
                  </w:r>
                </w:p>
              </w:tc>
              <w:tc>
                <w:tcPr>
                  <w:tcW w:w="2340" w:type="dxa"/>
                </w:tcPr>
                <w:p w:rsidR="00F94084" w:rsidRPr="008617EA" w:rsidRDefault="007B50DB" w:rsidP="008617EA">
                  <w:pPr>
                    <w:jc w:val="both"/>
                    <w:rPr>
                      <w:rFonts w:eastAsia="Calibri"/>
                    </w:rPr>
                  </w:pPr>
                  <w:r w:rsidRPr="008617EA">
                    <w:rPr>
                      <w:rFonts w:eastAsia="Calibri"/>
                    </w:rPr>
                    <w:t>Global data used but interpretation is adjusted due to local circumstances</w:t>
                  </w:r>
                </w:p>
              </w:tc>
            </w:tr>
            <w:tr w:rsidR="008617EA" w:rsidRPr="008617EA">
              <w:tc>
                <w:tcPr>
                  <w:tcW w:w="1800" w:type="dxa"/>
                </w:tcPr>
                <w:p w:rsidR="00F94084" w:rsidRPr="008617EA" w:rsidRDefault="008617EA" w:rsidP="008617EA">
                  <w:pPr>
                    <w:jc w:val="both"/>
                    <w:rPr>
                      <w:rFonts w:eastAsia="Calibri"/>
                    </w:rPr>
                  </w:pPr>
                  <w:r w:rsidRPr="008617EA">
                    <w:rPr>
                      <w:rFonts w:eastAsia="Calibri"/>
                    </w:rPr>
                    <w:t>C</w:t>
                  </w:r>
                </w:p>
              </w:tc>
              <w:tc>
                <w:tcPr>
                  <w:tcW w:w="1800" w:type="dxa"/>
                  <w:shd w:val="clear" w:color="auto" w:fill="auto"/>
                </w:tcPr>
                <w:p w:rsidR="00F94084" w:rsidRPr="008617EA" w:rsidRDefault="007B50DB" w:rsidP="008617EA">
                  <w:pPr>
                    <w:jc w:val="both"/>
                    <w:rPr>
                      <w:rFonts w:eastAsia="Calibri"/>
                    </w:rPr>
                  </w:pPr>
                  <w:proofErr w:type="spellStart"/>
                  <w:r w:rsidRPr="008617EA">
                    <w:rPr>
                      <w:rFonts w:eastAsia="Calibri"/>
                    </w:rPr>
                    <w:t>na</w:t>
                  </w:r>
                  <w:proofErr w:type="spellEnd"/>
                </w:p>
              </w:tc>
              <w:tc>
                <w:tcPr>
                  <w:tcW w:w="1800" w:type="dxa"/>
                  <w:shd w:val="clear" w:color="auto" w:fill="auto"/>
                </w:tcPr>
                <w:p w:rsidR="00F94084" w:rsidRPr="008617EA" w:rsidRDefault="007B50DB" w:rsidP="008617EA">
                  <w:pPr>
                    <w:jc w:val="both"/>
                    <w:rPr>
                      <w:rFonts w:eastAsia="Calibri"/>
                    </w:rPr>
                  </w:pPr>
                  <w:r w:rsidRPr="008617EA">
                    <w:rPr>
                      <w:rFonts w:eastAsia="Calibri"/>
                    </w:rPr>
                    <w:t>4334</w:t>
                  </w:r>
                </w:p>
              </w:tc>
              <w:tc>
                <w:tcPr>
                  <w:tcW w:w="1245" w:type="dxa"/>
                  <w:shd w:val="clear" w:color="auto" w:fill="auto"/>
                </w:tcPr>
                <w:p w:rsidR="00F94084" w:rsidRPr="008617EA" w:rsidRDefault="007B50DB" w:rsidP="008617EA">
                  <w:pPr>
                    <w:jc w:val="both"/>
                    <w:rPr>
                      <w:rFonts w:eastAsia="Calibri"/>
                    </w:rPr>
                  </w:pPr>
                  <w:r w:rsidRPr="008617EA">
                    <w:rPr>
                      <w:rFonts w:eastAsia="Calibri"/>
                    </w:rPr>
                    <w:t>YES</w:t>
                  </w:r>
                </w:p>
              </w:tc>
              <w:tc>
                <w:tcPr>
                  <w:tcW w:w="2340" w:type="dxa"/>
                </w:tcPr>
                <w:p w:rsidR="00F94084" w:rsidRPr="008617EA" w:rsidRDefault="007B50DB" w:rsidP="008617EA">
                  <w:pPr>
                    <w:jc w:val="both"/>
                    <w:rPr>
                      <w:rFonts w:eastAsia="Calibri"/>
                    </w:rPr>
                  </w:pPr>
                  <w:r w:rsidRPr="008617EA">
                    <w:rPr>
                      <w:rFonts w:eastAsia="Calibri"/>
                    </w:rPr>
                    <w:t>Use global as is</w:t>
                  </w:r>
                </w:p>
              </w:tc>
            </w:tr>
            <w:tr w:rsidR="008617EA" w:rsidRPr="008617EA">
              <w:tc>
                <w:tcPr>
                  <w:tcW w:w="1800" w:type="dxa"/>
                </w:tcPr>
                <w:p w:rsidR="00F94084" w:rsidRPr="008617EA" w:rsidRDefault="008617EA" w:rsidP="008617EA">
                  <w:pPr>
                    <w:jc w:val="both"/>
                    <w:rPr>
                      <w:rFonts w:eastAsia="Calibri"/>
                    </w:rPr>
                  </w:pPr>
                  <w:r w:rsidRPr="008617EA">
                    <w:rPr>
                      <w:rFonts w:eastAsia="Calibri"/>
                    </w:rPr>
                    <w:t>D</w:t>
                  </w:r>
                </w:p>
              </w:tc>
              <w:tc>
                <w:tcPr>
                  <w:tcW w:w="1800" w:type="dxa"/>
                  <w:shd w:val="clear" w:color="auto" w:fill="auto"/>
                </w:tcPr>
                <w:p w:rsidR="00F94084" w:rsidRPr="008617EA" w:rsidRDefault="007B50DB" w:rsidP="008617EA">
                  <w:pPr>
                    <w:jc w:val="both"/>
                    <w:rPr>
                      <w:rFonts w:eastAsia="Calibri"/>
                    </w:rPr>
                  </w:pPr>
                  <w:r w:rsidRPr="008617EA">
                    <w:rPr>
                      <w:rFonts w:eastAsia="Calibri"/>
                    </w:rPr>
                    <w:t>22 223</w:t>
                  </w:r>
                </w:p>
              </w:tc>
              <w:tc>
                <w:tcPr>
                  <w:tcW w:w="1800" w:type="dxa"/>
                </w:tcPr>
                <w:p w:rsidR="00F94084" w:rsidRPr="008617EA" w:rsidRDefault="007B50DB" w:rsidP="008617EA">
                  <w:pPr>
                    <w:jc w:val="both"/>
                    <w:rPr>
                      <w:rFonts w:eastAsia="Calibri"/>
                    </w:rPr>
                  </w:pPr>
                  <w:r w:rsidRPr="008617EA">
                    <w:rPr>
                      <w:rFonts w:eastAsia="Calibri"/>
                    </w:rPr>
                    <w:t>23 423 434</w:t>
                  </w:r>
                </w:p>
              </w:tc>
              <w:tc>
                <w:tcPr>
                  <w:tcW w:w="1245" w:type="dxa"/>
                </w:tcPr>
                <w:p w:rsidR="00F94084" w:rsidRPr="008617EA" w:rsidRDefault="007B50DB" w:rsidP="008617EA">
                  <w:pPr>
                    <w:jc w:val="both"/>
                    <w:rPr>
                      <w:rFonts w:eastAsia="Calibri"/>
                    </w:rPr>
                  </w:pPr>
                  <w:r w:rsidRPr="008617EA">
                    <w:rPr>
                      <w:rFonts w:eastAsia="Calibri"/>
                    </w:rPr>
                    <w:t>NO</w:t>
                  </w:r>
                </w:p>
              </w:tc>
              <w:tc>
                <w:tcPr>
                  <w:tcW w:w="2340" w:type="dxa"/>
                </w:tcPr>
                <w:p w:rsidR="00F94084" w:rsidRPr="008617EA" w:rsidRDefault="007B50DB" w:rsidP="008617EA">
                  <w:pPr>
                    <w:jc w:val="both"/>
                    <w:rPr>
                      <w:rFonts w:eastAsia="Calibri"/>
                    </w:rPr>
                  </w:pPr>
                  <w:r w:rsidRPr="008617EA">
                    <w:rPr>
                      <w:rFonts w:eastAsia="Calibri"/>
                    </w:rPr>
                    <w:t xml:space="preserve">Global data used in calculating national metric but classification adjusted to be useful in national context </w:t>
                  </w:r>
                </w:p>
              </w:tc>
            </w:tr>
          </w:tbl>
          <w:p w:rsidR="00F94084" w:rsidRPr="008617EA" w:rsidRDefault="00F94084" w:rsidP="008617EA">
            <w:pPr>
              <w:jc w:val="both"/>
              <w:rPr>
                <w:rFonts w:eastAsia="Times"/>
              </w:rPr>
            </w:pPr>
          </w:p>
          <w:p w:rsidR="00F94084" w:rsidRPr="008617EA" w:rsidRDefault="007B50DB" w:rsidP="008617EA">
            <w:pPr>
              <w:jc w:val="both"/>
              <w:rPr>
                <w:rFonts w:eastAsia="Times"/>
              </w:rPr>
            </w:pPr>
            <w:r w:rsidRPr="008617EA">
              <w:rPr>
                <w:rFonts w:eastAsia="Times"/>
              </w:rPr>
              <w:t xml:space="preserve">Under Paragraph 12, South Africa we would like to emphasize that the </w:t>
            </w:r>
            <w:proofErr w:type="spellStart"/>
            <w:r w:rsidRPr="008617EA">
              <w:rPr>
                <w:rFonts w:eastAsia="Times"/>
              </w:rPr>
              <w:t>DaRT</w:t>
            </w:r>
            <w:proofErr w:type="spellEnd"/>
            <w:r w:rsidRPr="008617EA">
              <w:rPr>
                <w:rFonts w:eastAsia="Times"/>
              </w:rPr>
              <w:t xml:space="preserve"> tool should be country driven noting that its intention is to support governance processes at the national level.</w:t>
            </w:r>
          </w:p>
          <w:p w:rsidR="00F94084" w:rsidRPr="008617EA" w:rsidRDefault="00F94084" w:rsidP="008617EA">
            <w:pPr>
              <w:jc w:val="both"/>
              <w:rPr>
                <w:rFonts w:eastAsia="Times"/>
              </w:rPr>
            </w:pPr>
          </w:p>
          <w:p w:rsidR="00F94084" w:rsidRPr="008617EA" w:rsidRDefault="007B50DB" w:rsidP="008617EA">
            <w:pPr>
              <w:jc w:val="both"/>
              <w:rPr>
                <w:rFonts w:eastAsia="Times"/>
              </w:rPr>
            </w:pPr>
            <w:r w:rsidRPr="008617EA">
              <w:rPr>
                <w:rFonts w:eastAsia="Times"/>
              </w:rPr>
              <w:t>On paragraph 13 and building on lessons from the UNCCD process, the</w:t>
            </w:r>
            <w:r w:rsidRPr="008617EA">
              <w:rPr>
                <w:rFonts w:eastAsia="Times"/>
              </w:rPr>
              <w:t xml:space="preserve"> GBF reporting tool must allow for easy addition of nationally computed indicators (using national or global data with national adjustments) where required. The tool must also allow for clear validation and acceptance or rejection of globally pre-populated</w:t>
            </w:r>
            <w:r w:rsidRPr="008617EA">
              <w:rPr>
                <w:rFonts w:eastAsia="Times"/>
              </w:rPr>
              <w:t xml:space="preserve"> indicators (to avoid confusion). In addition the metadata for the globally computed indicators must be easily accessible within the tool. The SDG process also provides a lesson in that it made national computation the "default" preferred approach, providi</w:t>
            </w:r>
            <w:r w:rsidRPr="008617EA">
              <w:rPr>
                <w:rFonts w:eastAsia="Times"/>
              </w:rPr>
              <w:t xml:space="preserve">ng the globally computed metrics to be used where appropriate (as decided by parties). It is important </w:t>
            </w:r>
            <w:r w:rsidR="008617EA" w:rsidRPr="008617EA">
              <w:rPr>
                <w:rFonts w:eastAsia="Times"/>
              </w:rPr>
              <w:t>not to</w:t>
            </w:r>
            <w:r w:rsidRPr="008617EA">
              <w:rPr>
                <w:rFonts w:eastAsia="Times"/>
              </w:rPr>
              <w:t xml:space="preserve"> overwrite the global with national data, rather make space to have both</w:t>
            </w:r>
            <w:r w:rsidR="008617EA" w:rsidRPr="008617EA">
              <w:rPr>
                <w:rFonts w:eastAsia="Times"/>
              </w:rPr>
              <w:t>, with</w:t>
            </w:r>
            <w:r w:rsidRPr="008617EA">
              <w:rPr>
                <w:rFonts w:eastAsia="Times"/>
              </w:rPr>
              <w:t xml:space="preserve"> clear decisions with reasons why global is not preferred.</w:t>
            </w:r>
          </w:p>
          <w:p w:rsidR="00F94084" w:rsidRPr="008617EA" w:rsidRDefault="00F94084" w:rsidP="008617EA">
            <w:pPr>
              <w:jc w:val="both"/>
              <w:rPr>
                <w:rFonts w:eastAsia="Times"/>
              </w:rPr>
            </w:pPr>
          </w:p>
          <w:p w:rsidR="00F94084" w:rsidRPr="008617EA" w:rsidRDefault="007B50DB" w:rsidP="008617EA">
            <w:pPr>
              <w:jc w:val="both"/>
              <w:rPr>
                <w:rFonts w:eastAsia="Times"/>
              </w:rPr>
            </w:pPr>
            <w:r w:rsidRPr="008617EA">
              <w:rPr>
                <w:rFonts w:eastAsia="Times"/>
              </w:rPr>
              <w:t>In para</w:t>
            </w:r>
            <w:r w:rsidRPr="008617EA">
              <w:rPr>
                <w:rFonts w:eastAsia="Times"/>
              </w:rPr>
              <w:t>graphs 11 and 13, and elsewhere in the document, we suggest avoiding using the terms “pre-filled or pre-populated”. Instead of saying that Parties will be able to accept data that is pre-filled, the text could say that Parties will be provided with informa</w:t>
            </w:r>
            <w:r w:rsidRPr="008617EA">
              <w:rPr>
                <w:rFonts w:eastAsia="Times"/>
              </w:rPr>
              <w:t xml:space="preserve">tion based on global </w:t>
            </w:r>
            <w:proofErr w:type="spellStart"/>
            <w:r w:rsidRPr="008617EA">
              <w:rPr>
                <w:rFonts w:eastAsia="Times"/>
              </w:rPr>
              <w:t>disaggregations</w:t>
            </w:r>
            <w:proofErr w:type="spellEnd"/>
            <w:r w:rsidRPr="008617EA">
              <w:rPr>
                <w:rFonts w:eastAsia="Times"/>
              </w:rPr>
              <w:t xml:space="preserve"> that they could use to fill the template. This may seem to be a subtle distinction </w:t>
            </w:r>
            <w:r w:rsidRPr="008617EA">
              <w:rPr>
                <w:rFonts w:eastAsia="Times"/>
              </w:rPr>
              <w:lastRenderedPageBreak/>
              <w:t>but we feel it is important. It increases the degree of agency that Parties have and affirms the need for engaging with all the indicato</w:t>
            </w:r>
            <w:r w:rsidRPr="008617EA">
              <w:rPr>
                <w:rFonts w:eastAsia="Times"/>
              </w:rPr>
              <w:t xml:space="preserve">rs at the national level. </w:t>
            </w:r>
          </w:p>
        </w:tc>
      </w:tr>
      <w:tr w:rsidR="008617EA" w:rsidRPr="008617EA">
        <w:trPr>
          <w:trHeight w:val="422"/>
        </w:trPr>
        <w:tc>
          <w:tcPr>
            <w:tcW w:w="9355" w:type="dxa"/>
            <w:gridSpan w:val="3"/>
            <w:tcBorders>
              <w:bottom w:val="single" w:sz="4" w:space="0" w:color="595959"/>
            </w:tcBorders>
            <w:shd w:val="clear" w:color="auto" w:fill="FFFFFF"/>
            <w:vAlign w:val="center"/>
          </w:tcPr>
          <w:p w:rsidR="00F94084" w:rsidRPr="008617EA" w:rsidRDefault="007B50DB" w:rsidP="008617EA">
            <w:pPr>
              <w:jc w:val="both"/>
              <w:rPr>
                <w:b/>
                <w:i/>
              </w:rPr>
            </w:pPr>
            <w:r w:rsidRPr="008617EA">
              <w:lastRenderedPageBreak/>
              <w:t xml:space="preserve">Please use the table below to provide any specific comments on the template: </w:t>
            </w:r>
          </w:p>
        </w:tc>
      </w:tr>
      <w:tr w:rsidR="008617EA" w:rsidRPr="008617EA">
        <w:trPr>
          <w:trHeight w:val="512"/>
        </w:trPr>
        <w:tc>
          <w:tcPr>
            <w:tcW w:w="901" w:type="dxa"/>
            <w:tcBorders>
              <w:top w:val="single" w:sz="4" w:space="0" w:color="595959"/>
              <w:left w:val="single" w:sz="4" w:space="0" w:color="595959"/>
              <w:bottom w:val="single" w:sz="4" w:space="0" w:color="595959"/>
              <w:right w:val="single" w:sz="4" w:space="0" w:color="595959"/>
            </w:tcBorders>
            <w:shd w:val="clear" w:color="auto" w:fill="D9D9D9"/>
            <w:vAlign w:val="center"/>
          </w:tcPr>
          <w:p w:rsidR="00F94084" w:rsidRPr="008617EA" w:rsidRDefault="007B50DB" w:rsidP="008617EA">
            <w:pPr>
              <w:jc w:val="both"/>
              <w:rPr>
                <w:b/>
              </w:rPr>
            </w:pPr>
            <w:r w:rsidRPr="008617EA">
              <w:rPr>
                <w:b/>
              </w:rPr>
              <w:t>Section</w:t>
            </w:r>
          </w:p>
        </w:tc>
        <w:tc>
          <w:tcPr>
            <w:tcW w:w="8454" w:type="dxa"/>
            <w:gridSpan w:val="2"/>
            <w:tcBorders>
              <w:top w:val="single" w:sz="4" w:space="0" w:color="595959"/>
              <w:left w:val="single" w:sz="4" w:space="0" w:color="595959"/>
              <w:bottom w:val="single" w:sz="4" w:space="0" w:color="595959"/>
              <w:right w:val="single" w:sz="4" w:space="0" w:color="595959"/>
            </w:tcBorders>
            <w:shd w:val="clear" w:color="auto" w:fill="D9D9D9"/>
            <w:vAlign w:val="center"/>
          </w:tcPr>
          <w:p w:rsidR="00F94084" w:rsidRPr="008617EA" w:rsidRDefault="007B50DB" w:rsidP="008617EA">
            <w:pPr>
              <w:jc w:val="both"/>
              <w:rPr>
                <w:b/>
              </w:rPr>
            </w:pPr>
            <w:r w:rsidRPr="008617EA">
              <w:rPr>
                <w:b/>
              </w:rPr>
              <w:t>Comment</w:t>
            </w:r>
          </w:p>
        </w:tc>
      </w:tr>
      <w:tr w:rsidR="008617EA" w:rsidRPr="008617EA">
        <w:trPr>
          <w:trHeight w:val="769"/>
        </w:trPr>
        <w:tc>
          <w:tcPr>
            <w:tcW w:w="901" w:type="dxa"/>
            <w:tcBorders>
              <w:top w:val="single" w:sz="4" w:space="0" w:color="595959"/>
            </w:tcBorders>
          </w:tcPr>
          <w:p w:rsidR="00F94084" w:rsidRPr="008617EA" w:rsidRDefault="007B50DB" w:rsidP="008617EA">
            <w:pPr>
              <w:jc w:val="both"/>
            </w:pPr>
            <w:r w:rsidRPr="008617EA">
              <w:t>I</w:t>
            </w:r>
          </w:p>
        </w:tc>
        <w:tc>
          <w:tcPr>
            <w:tcW w:w="8454" w:type="dxa"/>
            <w:gridSpan w:val="2"/>
            <w:tcBorders>
              <w:top w:val="single" w:sz="4" w:space="0" w:color="595959"/>
            </w:tcBorders>
          </w:tcPr>
          <w:p w:rsidR="00F94084" w:rsidRPr="008617EA" w:rsidRDefault="007B50DB" w:rsidP="008617EA">
            <w:pPr>
              <w:jc w:val="both"/>
            </w:pPr>
            <w:r w:rsidRPr="008617EA">
              <w:t>Please include comments or specific suggestions for Section I. Executive summary of the seventh and eighth national reports.</w:t>
            </w:r>
          </w:p>
          <w:p w:rsidR="00F94084" w:rsidRPr="008617EA" w:rsidRDefault="00F94084" w:rsidP="008617EA">
            <w:pPr>
              <w:jc w:val="both"/>
            </w:pPr>
          </w:p>
          <w:p w:rsidR="00F94084" w:rsidRPr="008617EA" w:rsidRDefault="007B50DB" w:rsidP="008617EA">
            <w:pPr>
              <w:jc w:val="both"/>
            </w:pPr>
            <w:r w:rsidRPr="008617EA">
              <w:t xml:space="preserve">We suggest adding an additional section (fourth row in the table) dealing with lessons learnt in relation to implementing the GBF and NBSAP over the course of the reporting period. </w:t>
            </w:r>
          </w:p>
          <w:p w:rsidR="00F94084" w:rsidRPr="008617EA" w:rsidRDefault="007B50DB" w:rsidP="008617EA">
            <w:pPr>
              <w:jc w:val="both"/>
            </w:pPr>
            <w:r w:rsidRPr="008617EA">
              <w:t>(This links to paragraph 7 of Annex D on the country-to-country review, wh</w:t>
            </w:r>
            <w:r w:rsidRPr="008617EA">
              <w:t>ich says that national reports provide an important basis for the country-to-country review. It will be helpful for countries to have reflected in the course of developing their national reports on lessons learnt in dealing with challenges in implementatio</w:t>
            </w:r>
            <w:r w:rsidRPr="008617EA">
              <w:t>n.)</w:t>
            </w:r>
          </w:p>
        </w:tc>
      </w:tr>
      <w:tr w:rsidR="008617EA" w:rsidRPr="008617EA">
        <w:trPr>
          <w:trHeight w:val="769"/>
        </w:trPr>
        <w:tc>
          <w:tcPr>
            <w:tcW w:w="901" w:type="dxa"/>
          </w:tcPr>
          <w:p w:rsidR="00F94084" w:rsidRPr="008617EA" w:rsidRDefault="007B50DB" w:rsidP="008617EA">
            <w:pPr>
              <w:jc w:val="both"/>
            </w:pPr>
            <w:r w:rsidRPr="008617EA">
              <w:t>II</w:t>
            </w:r>
          </w:p>
        </w:tc>
        <w:tc>
          <w:tcPr>
            <w:tcW w:w="8454" w:type="dxa"/>
            <w:gridSpan w:val="2"/>
          </w:tcPr>
          <w:p w:rsidR="00F94084" w:rsidRPr="008617EA" w:rsidRDefault="007B50DB" w:rsidP="008617EA">
            <w:pPr>
              <w:jc w:val="both"/>
            </w:pPr>
            <w:r w:rsidRPr="008617EA">
              <w:t>Please include comments or specific suggestions for Section II. Brief overview of the process of preparation of the report</w:t>
            </w:r>
          </w:p>
          <w:p w:rsidR="00F94084" w:rsidRPr="008617EA" w:rsidRDefault="00F94084" w:rsidP="008617EA">
            <w:pPr>
              <w:jc w:val="both"/>
            </w:pPr>
          </w:p>
          <w:p w:rsidR="00F94084" w:rsidRPr="008617EA" w:rsidRDefault="00F94084" w:rsidP="008617EA">
            <w:pPr>
              <w:jc w:val="both"/>
            </w:pPr>
          </w:p>
        </w:tc>
      </w:tr>
      <w:tr w:rsidR="008617EA" w:rsidRPr="008617EA">
        <w:trPr>
          <w:trHeight w:val="1022"/>
        </w:trPr>
        <w:tc>
          <w:tcPr>
            <w:tcW w:w="901" w:type="dxa"/>
          </w:tcPr>
          <w:p w:rsidR="00F94084" w:rsidRPr="008617EA" w:rsidRDefault="007B50DB" w:rsidP="008617EA">
            <w:pPr>
              <w:jc w:val="both"/>
            </w:pPr>
            <w:r w:rsidRPr="008617EA">
              <w:t>III</w:t>
            </w:r>
          </w:p>
        </w:tc>
        <w:tc>
          <w:tcPr>
            <w:tcW w:w="8454" w:type="dxa"/>
            <w:gridSpan w:val="2"/>
          </w:tcPr>
          <w:p w:rsidR="00F94084" w:rsidRPr="008617EA" w:rsidRDefault="007B50DB" w:rsidP="008617EA">
            <w:pPr>
              <w:jc w:val="both"/>
            </w:pPr>
            <w:r w:rsidRPr="008617EA">
              <w:t>Please include comments or specific suggestions for Section III.</w:t>
            </w:r>
            <w:r w:rsidRPr="008617EA">
              <w:tab/>
            </w:r>
            <w:r w:rsidRPr="008617EA">
              <w:t xml:space="preserve">Status of the updated or revised NBSAP in the light of the post-2020 global biodiversity framework (This section is for the seventh national report only) </w:t>
            </w:r>
          </w:p>
          <w:p w:rsidR="00F94084" w:rsidRPr="008617EA" w:rsidRDefault="00F94084" w:rsidP="008617EA">
            <w:pPr>
              <w:jc w:val="both"/>
            </w:pPr>
          </w:p>
          <w:p w:rsidR="00F94084" w:rsidRPr="008617EA" w:rsidRDefault="007B50DB" w:rsidP="008617EA">
            <w:pPr>
              <w:jc w:val="both"/>
              <w:rPr>
                <w:b/>
              </w:rPr>
            </w:pPr>
            <w:r w:rsidRPr="008617EA">
              <w:rPr>
                <w:b/>
              </w:rPr>
              <w:t xml:space="preserve">Has your country’s updated or revised NBSAP or biodiversity action plan </w:t>
            </w:r>
            <w:proofErr w:type="gramStart"/>
            <w:r w:rsidRPr="008617EA">
              <w:rPr>
                <w:b/>
              </w:rPr>
              <w:t>been  adopted</w:t>
            </w:r>
            <w:proofErr w:type="gramEnd"/>
            <w:r w:rsidRPr="008617EA">
              <w:rPr>
                <w:b/>
              </w:rPr>
              <w:t xml:space="preserve"> as a policy or</w:t>
            </w:r>
            <w:r w:rsidRPr="008617EA">
              <w:rPr>
                <w:b/>
              </w:rPr>
              <w:t xml:space="preserve"> legal instrument?</w:t>
            </w:r>
          </w:p>
          <w:p w:rsidR="00F94084" w:rsidRPr="008617EA" w:rsidRDefault="007B50DB" w:rsidP="008617EA">
            <w:pPr>
              <w:jc w:val="both"/>
            </w:pPr>
            <w:r w:rsidRPr="008617EA">
              <w:t>Please clarify the meaning of "biodiversity action plan”. This makes it seem that there's an option to go for either an NBSAP or a biodiversity action plan.</w:t>
            </w:r>
          </w:p>
          <w:p w:rsidR="00F94084" w:rsidRPr="008617EA" w:rsidRDefault="00F94084" w:rsidP="008617EA">
            <w:pPr>
              <w:jc w:val="both"/>
            </w:pPr>
          </w:p>
          <w:p w:rsidR="00F94084" w:rsidRPr="008617EA" w:rsidRDefault="007B50DB" w:rsidP="008617EA">
            <w:pPr>
              <w:jc w:val="both"/>
              <w:rPr>
                <w:b/>
              </w:rPr>
            </w:pPr>
            <w:r w:rsidRPr="008617EA">
              <w:rPr>
                <w:b/>
              </w:rPr>
              <w:t>Integrated into the poverty reduction  strategy, sustainable development strategy, national development plan,  and other related strategies or plans</w:t>
            </w:r>
          </w:p>
          <w:p w:rsidR="00F94084" w:rsidRPr="008617EA" w:rsidRDefault="007B50DB" w:rsidP="008617EA">
            <w:pPr>
              <w:jc w:val="both"/>
            </w:pPr>
            <w:r w:rsidRPr="008617EA">
              <w:t>We suggest that this is a separate issue to adoption of the NBSAP as a legal mechanism, and should be a que</w:t>
            </w:r>
            <w:r w:rsidRPr="008617EA">
              <w:t>stion in its own right (i.e. a separate row). This is about mainstreaming the NBSAP. It should say "poverty and inequality" not just poverty.</w:t>
            </w:r>
          </w:p>
          <w:p w:rsidR="00F94084" w:rsidRPr="008617EA" w:rsidRDefault="00F94084" w:rsidP="008617EA">
            <w:pPr>
              <w:jc w:val="both"/>
            </w:pPr>
          </w:p>
          <w:p w:rsidR="00F94084" w:rsidRPr="008617EA" w:rsidRDefault="007B50DB" w:rsidP="008617EA">
            <w:pPr>
              <w:jc w:val="both"/>
            </w:pPr>
            <w:r w:rsidRPr="008617EA">
              <w:t>It may be useful to include a question in this section about the status of the national biodiversity financial pl</w:t>
            </w:r>
            <w:r w:rsidRPr="008617EA">
              <w:t>an.</w:t>
            </w:r>
          </w:p>
          <w:p w:rsidR="00F94084" w:rsidRPr="008617EA" w:rsidRDefault="00F94084" w:rsidP="008617EA">
            <w:pPr>
              <w:jc w:val="both"/>
            </w:pPr>
          </w:p>
        </w:tc>
      </w:tr>
      <w:tr w:rsidR="008617EA" w:rsidRPr="008617EA">
        <w:trPr>
          <w:trHeight w:val="769"/>
        </w:trPr>
        <w:tc>
          <w:tcPr>
            <w:tcW w:w="901" w:type="dxa"/>
          </w:tcPr>
          <w:p w:rsidR="00F94084" w:rsidRPr="008617EA" w:rsidRDefault="007B50DB" w:rsidP="008617EA">
            <w:pPr>
              <w:jc w:val="both"/>
            </w:pPr>
            <w:r w:rsidRPr="008617EA">
              <w:t>IV</w:t>
            </w:r>
          </w:p>
        </w:tc>
        <w:tc>
          <w:tcPr>
            <w:tcW w:w="8454" w:type="dxa"/>
            <w:gridSpan w:val="2"/>
          </w:tcPr>
          <w:p w:rsidR="00F94084" w:rsidRPr="008617EA" w:rsidRDefault="007B50DB" w:rsidP="008617EA">
            <w:pPr>
              <w:jc w:val="both"/>
            </w:pPr>
            <w:r w:rsidRPr="008617EA">
              <w:t>Please include comments or specific suggestions for Section IV.</w:t>
            </w:r>
            <w:r w:rsidRPr="008617EA">
              <w:tab/>
              <w:t>Assessment of progress towards the 2050 goals of the post-2020 global biodiversity framework</w:t>
            </w:r>
          </w:p>
          <w:p w:rsidR="00F94084" w:rsidRPr="008617EA" w:rsidRDefault="00F94084" w:rsidP="008617EA">
            <w:pPr>
              <w:jc w:val="both"/>
            </w:pPr>
          </w:p>
          <w:p w:rsidR="00F94084" w:rsidRPr="008617EA" w:rsidRDefault="007B50DB" w:rsidP="008617EA">
            <w:pPr>
              <w:jc w:val="both"/>
            </w:pPr>
            <w:r w:rsidRPr="008617EA">
              <w:t>Rather don't preempt the decision to remove the milestones. May need assessment of milest</w:t>
            </w:r>
            <w:r w:rsidRPr="008617EA">
              <w:t>ones if they are finally included in the GBF.</w:t>
            </w:r>
          </w:p>
          <w:p w:rsidR="00F94084" w:rsidRPr="008617EA" w:rsidRDefault="00F94084" w:rsidP="008617EA">
            <w:pPr>
              <w:jc w:val="both"/>
            </w:pPr>
          </w:p>
          <w:p w:rsidR="00F94084" w:rsidRPr="008617EA" w:rsidRDefault="007B50DB" w:rsidP="008617EA">
            <w:pPr>
              <w:jc w:val="both"/>
            </w:pPr>
            <w:r w:rsidRPr="008617EA">
              <w:t>We raise here our earlier points in relation to para 11 and para 13 that we would prefer that Parties are provided with information that they may wish to use in populating the headline indicators for Goals and</w:t>
            </w:r>
            <w:r w:rsidRPr="008617EA">
              <w:t xml:space="preserve"> Targets, rather than being provided with pre-filled or pre-populated indicators. Also that it would be useful to retain information about </w:t>
            </w:r>
            <w:r w:rsidRPr="008617EA">
              <w:lastRenderedPageBreak/>
              <w:t>whether parties choose to use the globally provided information or to use their own national information and why.</w:t>
            </w:r>
          </w:p>
          <w:p w:rsidR="00F94084" w:rsidRPr="008617EA" w:rsidRDefault="00F94084" w:rsidP="008617EA">
            <w:pPr>
              <w:jc w:val="both"/>
            </w:pPr>
          </w:p>
          <w:p w:rsidR="00F94084" w:rsidRPr="008617EA" w:rsidRDefault="007B50DB" w:rsidP="008617EA">
            <w:pPr>
              <w:jc w:val="both"/>
            </w:pPr>
            <w:r w:rsidRPr="008617EA">
              <w:t>We</w:t>
            </w:r>
            <w:r w:rsidRPr="008617EA">
              <w:t xml:space="preserve"> suggest adding a question for each Goal: Please reflect on any lessons learnt in working towards this Goal, for example related to successes achieved or challenges overcome or different approaches to be used going forward. These lessons could then be </w:t>
            </w:r>
            <w:proofErr w:type="spellStart"/>
            <w:r w:rsidRPr="008617EA">
              <w:t>synt</w:t>
            </w:r>
            <w:r w:rsidRPr="008617EA">
              <w:t>hesised</w:t>
            </w:r>
            <w:proofErr w:type="spellEnd"/>
            <w:r w:rsidRPr="008617EA">
              <w:t xml:space="preserve"> in the Executive Summary.</w:t>
            </w:r>
          </w:p>
          <w:p w:rsidR="00F94084" w:rsidRPr="008617EA" w:rsidRDefault="00F94084" w:rsidP="008617EA">
            <w:pPr>
              <w:jc w:val="both"/>
            </w:pPr>
          </w:p>
        </w:tc>
      </w:tr>
      <w:tr w:rsidR="008617EA" w:rsidRPr="008617EA">
        <w:trPr>
          <w:trHeight w:val="1068"/>
        </w:trPr>
        <w:tc>
          <w:tcPr>
            <w:tcW w:w="901" w:type="dxa"/>
          </w:tcPr>
          <w:p w:rsidR="00F94084" w:rsidRPr="008617EA" w:rsidRDefault="007B50DB" w:rsidP="008617EA">
            <w:pPr>
              <w:jc w:val="both"/>
            </w:pPr>
            <w:r w:rsidRPr="008617EA">
              <w:lastRenderedPageBreak/>
              <w:t>V</w:t>
            </w:r>
          </w:p>
        </w:tc>
        <w:tc>
          <w:tcPr>
            <w:tcW w:w="8454" w:type="dxa"/>
            <w:gridSpan w:val="2"/>
          </w:tcPr>
          <w:p w:rsidR="00F94084" w:rsidRPr="008617EA" w:rsidRDefault="007B50DB" w:rsidP="008617EA">
            <w:pPr>
              <w:jc w:val="both"/>
            </w:pPr>
            <w:r w:rsidRPr="008617EA">
              <w:t>Please include comments or specific suggestions for Section V. Progress towards the 2030 action targets</w:t>
            </w:r>
          </w:p>
          <w:p w:rsidR="00F94084" w:rsidRPr="008617EA" w:rsidRDefault="00F94084" w:rsidP="008617EA">
            <w:pPr>
              <w:jc w:val="both"/>
            </w:pPr>
          </w:p>
          <w:p w:rsidR="00F94084" w:rsidRPr="008617EA" w:rsidRDefault="007B50DB" w:rsidP="008617EA">
            <w:pPr>
              <w:jc w:val="both"/>
            </w:pPr>
            <w:r w:rsidRPr="008617EA">
              <w:t>We raise here our earlier points in relation to para 11 and para 13 that we would prefer that Parties are provided with information that they may wish to use in populating the headline indicators for Goals and Targets, rather than being provided with pre-f</w:t>
            </w:r>
            <w:r w:rsidRPr="008617EA">
              <w:t>illed or pre-populated indicators. Also that it would be useful to retain information about whether parties choose to use the globally provided information or to use their own national information and why.</w:t>
            </w:r>
          </w:p>
          <w:p w:rsidR="00F94084" w:rsidRPr="008617EA" w:rsidRDefault="00F94084" w:rsidP="008617EA">
            <w:pPr>
              <w:jc w:val="both"/>
            </w:pPr>
          </w:p>
          <w:p w:rsidR="00F94084" w:rsidRPr="008617EA" w:rsidRDefault="007B50DB" w:rsidP="008617EA">
            <w:pPr>
              <w:jc w:val="both"/>
            </w:pPr>
            <w:r w:rsidRPr="008617EA">
              <w:t>We suggest adding a question for each Target: Ple</w:t>
            </w:r>
            <w:r w:rsidRPr="008617EA">
              <w:t xml:space="preserve">ase reflect on any lessons learnt in working towards this Target, for example related to successes achieved or challenges overcome or different approaches to be used going forward. These lessons could then be </w:t>
            </w:r>
            <w:proofErr w:type="spellStart"/>
            <w:r w:rsidRPr="008617EA">
              <w:t>synthesised</w:t>
            </w:r>
            <w:proofErr w:type="spellEnd"/>
            <w:r w:rsidRPr="008617EA">
              <w:t xml:space="preserve"> in the Executive Summary.</w:t>
            </w:r>
          </w:p>
          <w:p w:rsidR="00F94084" w:rsidRPr="008617EA" w:rsidRDefault="00F94084" w:rsidP="008617EA">
            <w:pPr>
              <w:jc w:val="both"/>
            </w:pPr>
          </w:p>
        </w:tc>
      </w:tr>
    </w:tbl>
    <w:p w:rsidR="00F94084" w:rsidRPr="008617EA" w:rsidRDefault="00F94084" w:rsidP="008617EA">
      <w:pPr>
        <w:jc w:val="both"/>
      </w:pPr>
    </w:p>
    <w:sectPr w:rsidR="00F94084" w:rsidRPr="008617EA">
      <w:pgSz w:w="12240" w:h="15840"/>
      <w:pgMar w:top="90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50DB" w:rsidRDefault="007B50DB" w:rsidP="008617EA">
      <w:r>
        <w:separator/>
      </w:r>
    </w:p>
  </w:endnote>
  <w:endnote w:type="continuationSeparator" w:id="0">
    <w:p w:rsidR="007B50DB" w:rsidRDefault="007B50DB" w:rsidP="00861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Lucida Grande">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50DB" w:rsidRDefault="007B50DB" w:rsidP="008617EA">
      <w:r>
        <w:separator/>
      </w:r>
    </w:p>
  </w:footnote>
  <w:footnote w:type="continuationSeparator" w:id="0">
    <w:p w:rsidR="007B50DB" w:rsidRDefault="007B50DB" w:rsidP="008617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084"/>
    <w:rsid w:val="007B50DB"/>
    <w:rsid w:val="008617EA"/>
    <w:rsid w:val="00F9408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2C1D1"/>
  <w15:docId w15:val="{9D261CFB-2323-4CBF-B458-506330F33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B5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uiPriority w:val="99"/>
    <w:rsid w:val="00236608"/>
    <w:rPr>
      <w:rFonts w:cs="Times New Roman"/>
      <w:color w:val="0000FF"/>
      <w:u w:val="single"/>
    </w:rPr>
  </w:style>
  <w:style w:type="paragraph" w:customStyle="1" w:styleId="Default">
    <w:name w:val="Default"/>
    <w:uiPriority w:val="99"/>
    <w:rsid w:val="00236608"/>
    <w:pPr>
      <w:autoSpaceDE w:val="0"/>
      <w:autoSpaceDN w:val="0"/>
      <w:adjustRightInd w:val="0"/>
    </w:pPr>
    <w:rPr>
      <w:color w:val="000000"/>
    </w:rPr>
  </w:style>
  <w:style w:type="paragraph" w:styleId="CommentText">
    <w:name w:val="annotation text"/>
    <w:basedOn w:val="Normal"/>
    <w:link w:val="CommentTextChar"/>
    <w:uiPriority w:val="99"/>
    <w:semiHidden/>
    <w:unhideWhenUsed/>
    <w:rsid w:val="00236608"/>
    <w:rPr>
      <w:sz w:val="20"/>
      <w:szCs w:val="20"/>
    </w:rPr>
  </w:style>
  <w:style w:type="character" w:customStyle="1" w:styleId="CommentTextChar">
    <w:name w:val="Comment Text Char"/>
    <w:basedOn w:val="DefaultParagraphFont"/>
    <w:link w:val="CommentText"/>
    <w:uiPriority w:val="99"/>
    <w:semiHidden/>
    <w:rsid w:val="00236608"/>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236608"/>
    <w:rPr>
      <w:b/>
      <w:bCs/>
    </w:rPr>
  </w:style>
  <w:style w:type="character" w:customStyle="1" w:styleId="CommentSubjectChar">
    <w:name w:val="Comment Subject Char"/>
    <w:basedOn w:val="CommentTextChar"/>
    <w:link w:val="CommentSubject"/>
    <w:uiPriority w:val="99"/>
    <w:rsid w:val="00236608"/>
    <w:rPr>
      <w:rFonts w:ascii="Times New Roman" w:eastAsia="Times New Roman" w:hAnsi="Times New Roman" w:cs="Times New Roman"/>
      <w:b/>
      <w:bCs/>
      <w:sz w:val="20"/>
      <w:szCs w:val="20"/>
      <w:lang w:val="en-US"/>
    </w:rPr>
  </w:style>
  <w:style w:type="paragraph" w:customStyle="1" w:styleId="Form">
    <w:name w:val="Form"/>
    <w:basedOn w:val="Normal"/>
    <w:uiPriority w:val="99"/>
    <w:rsid w:val="00236608"/>
    <w:pPr>
      <w:autoSpaceDE w:val="0"/>
      <w:autoSpaceDN w:val="0"/>
      <w:adjustRightInd w:val="0"/>
      <w:spacing w:before="60" w:after="60"/>
    </w:pPr>
    <w:rPr>
      <w:rFonts w:ascii="Arial" w:eastAsia="MS Mincho" w:hAnsi="Arial" w:cs="Arial"/>
      <w:sz w:val="16"/>
    </w:rPr>
  </w:style>
  <w:style w:type="paragraph" w:styleId="Header">
    <w:name w:val="header"/>
    <w:basedOn w:val="Normal"/>
    <w:link w:val="HeaderChar"/>
    <w:uiPriority w:val="99"/>
    <w:unhideWhenUsed/>
    <w:rsid w:val="00AE7B5B"/>
    <w:pPr>
      <w:tabs>
        <w:tab w:val="center" w:pos="4680"/>
        <w:tab w:val="right" w:pos="9360"/>
      </w:tabs>
    </w:pPr>
  </w:style>
  <w:style w:type="character" w:customStyle="1" w:styleId="HeaderChar">
    <w:name w:val="Header Char"/>
    <w:basedOn w:val="DefaultParagraphFont"/>
    <w:link w:val="Header"/>
    <w:uiPriority w:val="99"/>
    <w:rsid w:val="00AE7B5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E7B5B"/>
    <w:pPr>
      <w:tabs>
        <w:tab w:val="center" w:pos="4680"/>
        <w:tab w:val="right" w:pos="9360"/>
      </w:tabs>
    </w:pPr>
  </w:style>
  <w:style w:type="character" w:customStyle="1" w:styleId="FooterChar">
    <w:name w:val="Footer Char"/>
    <w:basedOn w:val="DefaultParagraphFont"/>
    <w:link w:val="Footer"/>
    <w:uiPriority w:val="99"/>
    <w:rsid w:val="00AE7B5B"/>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9C30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30DA"/>
    <w:rPr>
      <w:rFonts w:ascii="Lucida Grande" w:eastAsia="Times New Roman" w:hAnsi="Lucida Grande" w:cs="Lucida Grande"/>
      <w:sz w:val="18"/>
      <w:szCs w:val="18"/>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QWATHEKANA@dffe.gov.z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VOOYkyQOUeK9VCAWaYV87n36/A==">AMUW2mXzA3c0IXEcY5ly0emS2h2ytlPgvvwRt2aH380ImmnvEXL5tw7TmTWega7wbf+AEU7LlA9v1XDwmfjkGyM/DqCFzcTLud6C2owWcvXFvxMlS0wKC2M=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1302</Words>
  <Characters>7428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 Noonan Mooney</dc:creator>
  <cp:lastModifiedBy>Ntakadzeni Tshidada</cp:lastModifiedBy>
  <cp:revision>2</cp:revision>
  <dcterms:created xsi:type="dcterms:W3CDTF">2022-05-06T13:23:00Z</dcterms:created>
  <dcterms:modified xsi:type="dcterms:W3CDTF">2022-05-06T13:23:00Z</dcterms:modified>
</cp:coreProperties>
</file>